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88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3819"/>
        <w:gridCol w:w="4211"/>
        <w:gridCol w:w="2886"/>
      </w:tblGrid>
      <w:tr w:rsidR="00C84CEB" w:rsidRPr="00EC10BC" w:rsidTr="00081944">
        <w:trPr>
          <w:trHeight w:val="508"/>
        </w:trPr>
        <w:tc>
          <w:tcPr>
            <w:tcW w:w="10916" w:type="dxa"/>
            <w:gridSpan w:val="3"/>
            <w:shd w:val="clear" w:color="auto" w:fill="F2F2F2" w:themeFill="background1" w:themeFillShade="F2"/>
            <w:vAlign w:val="center"/>
          </w:tcPr>
          <w:p w:rsidR="00C84CEB" w:rsidRPr="00EC10BC" w:rsidRDefault="00C84CEB" w:rsidP="00C8236B">
            <w:pPr>
              <w:jc w:val="center"/>
              <w:rPr>
                <w:rFonts w:ascii="Eras Medium ITC" w:hAnsi="Eras Medium ITC"/>
                <w:b/>
              </w:rPr>
            </w:pPr>
            <w:bookmarkStart w:id="0" w:name="_GoBack"/>
            <w:bookmarkEnd w:id="0"/>
            <w:r w:rsidRPr="00EC10BC">
              <w:rPr>
                <w:rFonts w:ascii="Eras Medium ITC" w:hAnsi="Eras Medium ITC"/>
                <w:b/>
                <w:sz w:val="36"/>
              </w:rPr>
              <w:t>Évaluation du plan de lutte à la violence et à l’intimidation</w:t>
            </w:r>
          </w:p>
        </w:tc>
      </w:tr>
      <w:tr w:rsidR="00C84CEB" w:rsidRPr="00EC10BC" w:rsidTr="00CD4B6C">
        <w:trPr>
          <w:trHeight w:val="309"/>
        </w:trPr>
        <w:tc>
          <w:tcPr>
            <w:tcW w:w="8424" w:type="dxa"/>
            <w:gridSpan w:val="2"/>
          </w:tcPr>
          <w:p w:rsidR="00C84CEB" w:rsidRPr="008E7FB7" w:rsidRDefault="00C84CEB" w:rsidP="002C78D6">
            <w:pPr>
              <w:rPr>
                <w:rFonts w:ascii="Times New Roman" w:hAnsi="Times New Roman" w:cs="Times New Roman"/>
                <w:sz w:val="24"/>
              </w:rPr>
            </w:pPr>
            <w:r w:rsidRPr="008E7FB7">
              <w:rPr>
                <w:rFonts w:ascii="Times New Roman" w:hAnsi="Times New Roman" w:cs="Times New Roman"/>
                <w:b/>
                <w:sz w:val="24"/>
              </w:rPr>
              <w:t>Année scolaire :</w:t>
            </w:r>
            <w:r w:rsidRPr="008E7FB7">
              <w:rPr>
                <w:rFonts w:ascii="Times New Roman" w:hAnsi="Times New Roman" w:cs="Times New Roman"/>
                <w:sz w:val="24"/>
              </w:rPr>
              <w:t xml:space="preserve"> 2013-2014</w:t>
            </w:r>
          </w:p>
        </w:tc>
        <w:tc>
          <w:tcPr>
            <w:tcW w:w="2492" w:type="dxa"/>
            <w:vMerge w:val="restart"/>
          </w:tcPr>
          <w:p w:rsidR="00C84CEB" w:rsidRPr="00EC10BC" w:rsidRDefault="00C84CEB" w:rsidP="002C78D6">
            <w:pPr>
              <w:rPr>
                <w:rFonts w:ascii="Eras Medium ITC" w:hAnsi="Eras Medium ITC"/>
              </w:rPr>
            </w:pPr>
          </w:p>
          <w:p w:rsidR="00C84CEB" w:rsidRPr="00EC10BC" w:rsidRDefault="00FD6897" w:rsidP="002C78D6">
            <w:pPr>
              <w:rPr>
                <w:rFonts w:ascii="Eras Medium ITC" w:hAnsi="Eras Medium ITC"/>
              </w:rPr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685925" cy="514350"/>
                  <wp:effectExtent l="0" t="0" r="9525" b="0"/>
                  <wp:docPr id="2" name="Image 2" descr="logo fernand-Seg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ernand-Seg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EB" w:rsidRPr="00EC10BC" w:rsidTr="00CD4B6C">
        <w:trPr>
          <w:trHeight w:val="363"/>
        </w:trPr>
        <w:tc>
          <w:tcPr>
            <w:tcW w:w="8424" w:type="dxa"/>
            <w:gridSpan w:val="2"/>
          </w:tcPr>
          <w:p w:rsidR="00C84CEB" w:rsidRPr="008E7FB7" w:rsidRDefault="00C84CEB" w:rsidP="003D6C77">
            <w:pPr>
              <w:rPr>
                <w:rFonts w:ascii="Times New Roman" w:hAnsi="Times New Roman" w:cs="Times New Roman"/>
                <w:sz w:val="24"/>
              </w:rPr>
            </w:pPr>
            <w:r w:rsidRPr="008E7FB7">
              <w:rPr>
                <w:rFonts w:ascii="Times New Roman" w:hAnsi="Times New Roman" w:cs="Times New Roman"/>
                <w:b/>
                <w:sz w:val="24"/>
              </w:rPr>
              <w:t>Date de l’évaluation :</w:t>
            </w:r>
            <w:r w:rsidRPr="008E7F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6C77">
              <w:rPr>
                <w:rFonts w:ascii="Times New Roman" w:hAnsi="Times New Roman" w:cs="Times New Roman"/>
                <w:sz w:val="24"/>
              </w:rPr>
              <w:t>25 juin</w:t>
            </w:r>
            <w:r w:rsidRPr="008E7FB7">
              <w:rPr>
                <w:rFonts w:ascii="Times New Roman" w:hAnsi="Times New Roman" w:cs="Times New Roman"/>
                <w:sz w:val="24"/>
              </w:rPr>
              <w:t xml:space="preserve"> 2014 (comité)</w:t>
            </w:r>
          </w:p>
        </w:tc>
        <w:tc>
          <w:tcPr>
            <w:tcW w:w="2492" w:type="dxa"/>
            <w:vMerge/>
          </w:tcPr>
          <w:p w:rsidR="00C84CEB" w:rsidRPr="00EC10BC" w:rsidRDefault="00C84CEB" w:rsidP="002C78D6">
            <w:pPr>
              <w:rPr>
                <w:rFonts w:ascii="Eras Medium ITC" w:hAnsi="Eras Medium ITC"/>
              </w:rPr>
            </w:pPr>
          </w:p>
        </w:tc>
      </w:tr>
      <w:tr w:rsidR="00C84CEB" w:rsidRPr="00EC10BC" w:rsidTr="00C8236B">
        <w:trPr>
          <w:trHeight w:val="1221"/>
        </w:trPr>
        <w:tc>
          <w:tcPr>
            <w:tcW w:w="8424" w:type="dxa"/>
            <w:gridSpan w:val="2"/>
          </w:tcPr>
          <w:p w:rsidR="00C84CEB" w:rsidRPr="008E7FB7" w:rsidRDefault="00C84CEB" w:rsidP="002C78D6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E7FB7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Noms des membres du comité : </w:t>
            </w:r>
          </w:p>
          <w:p w:rsidR="00C84CEB" w:rsidRPr="008E7FB7" w:rsidRDefault="00C84CEB" w:rsidP="002C78D6">
            <w:pPr>
              <w:rPr>
                <w:rFonts w:ascii="Times New Roman" w:hAnsi="Times New Roman" w:cs="Times New Roman"/>
                <w:sz w:val="24"/>
              </w:rPr>
            </w:pPr>
            <w:r w:rsidRPr="008E7FB7">
              <w:rPr>
                <w:rFonts w:ascii="Times New Roman" w:hAnsi="Times New Roman" w:cs="Times New Roman"/>
                <w:b/>
                <w:sz w:val="24"/>
              </w:rPr>
              <w:t>Enseignantes :</w:t>
            </w:r>
            <w:r w:rsidRPr="008E7F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8236B">
              <w:rPr>
                <w:rFonts w:ascii="Times New Roman" w:hAnsi="Times New Roman" w:cs="Times New Roman"/>
                <w:sz w:val="24"/>
              </w:rPr>
              <w:t>Marie Millet, Alina Benchea</w:t>
            </w:r>
          </w:p>
          <w:p w:rsidR="00C84CEB" w:rsidRPr="008E7FB7" w:rsidRDefault="00C84CEB" w:rsidP="002C78D6">
            <w:pPr>
              <w:rPr>
                <w:rFonts w:ascii="Times New Roman" w:hAnsi="Times New Roman" w:cs="Times New Roman"/>
                <w:sz w:val="24"/>
              </w:rPr>
            </w:pPr>
            <w:r w:rsidRPr="008E7FB7">
              <w:rPr>
                <w:rFonts w:ascii="Times New Roman" w:hAnsi="Times New Roman" w:cs="Times New Roman"/>
                <w:b/>
                <w:sz w:val="24"/>
              </w:rPr>
              <w:t>Éducatrices spécialisées :</w:t>
            </w:r>
            <w:r w:rsidRPr="008E7F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6C77">
              <w:rPr>
                <w:rFonts w:ascii="Times New Roman" w:hAnsi="Times New Roman" w:cs="Times New Roman"/>
                <w:sz w:val="24"/>
              </w:rPr>
              <w:t>Nathalie Dubuc</w:t>
            </w:r>
          </w:p>
          <w:p w:rsidR="00C84CEB" w:rsidRPr="008E7FB7" w:rsidRDefault="00C8236B" w:rsidP="00C823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Direction</w:t>
            </w:r>
            <w:r w:rsidR="00C84CEB" w:rsidRPr="008E7FB7">
              <w:rPr>
                <w:rFonts w:ascii="Times New Roman" w:hAnsi="Times New Roman" w:cs="Times New Roman"/>
                <w:b/>
                <w:sz w:val="24"/>
              </w:rPr>
              <w:t> :</w:t>
            </w:r>
            <w:r w:rsidR="00C84CEB" w:rsidRPr="008E7F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6C77">
              <w:rPr>
                <w:rFonts w:ascii="Times New Roman" w:hAnsi="Times New Roman" w:cs="Times New Roman"/>
                <w:sz w:val="24"/>
              </w:rPr>
              <w:t>Linda Vallée</w:t>
            </w:r>
          </w:p>
        </w:tc>
        <w:tc>
          <w:tcPr>
            <w:tcW w:w="2492" w:type="dxa"/>
            <w:vMerge/>
          </w:tcPr>
          <w:p w:rsidR="00C84CEB" w:rsidRPr="00EC10BC" w:rsidRDefault="00C84CEB" w:rsidP="002C78D6">
            <w:pPr>
              <w:rPr>
                <w:rFonts w:ascii="Eras Medium ITC" w:hAnsi="Eras Medium ITC"/>
              </w:rPr>
            </w:pPr>
          </w:p>
        </w:tc>
      </w:tr>
      <w:tr w:rsidR="00C84CEB" w:rsidRPr="00EC10BC" w:rsidTr="00C8236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475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C84CEB" w:rsidRPr="00EC10BC" w:rsidRDefault="00C84CEB" w:rsidP="00C8236B">
            <w:pPr>
              <w:jc w:val="center"/>
              <w:rPr>
                <w:rFonts w:ascii="Eras Medium ITC" w:hAnsi="Eras Medium ITC"/>
                <w:b/>
                <w:sz w:val="32"/>
                <w:u w:val="single"/>
              </w:rPr>
            </w:pPr>
            <w:r w:rsidRPr="00EC10BC">
              <w:rPr>
                <w:rFonts w:ascii="Eras Medium ITC" w:hAnsi="Eras Medium ITC"/>
                <w:b/>
                <w:sz w:val="32"/>
                <w:u w:val="single"/>
              </w:rPr>
              <w:t>D’où sommes-nous partis?</w:t>
            </w:r>
          </w:p>
        </w:tc>
        <w:tc>
          <w:tcPr>
            <w:tcW w:w="6980" w:type="dxa"/>
            <w:gridSpan w:val="2"/>
            <w:shd w:val="clear" w:color="auto" w:fill="F2F2F2" w:themeFill="background1" w:themeFillShade="F2"/>
            <w:vAlign w:val="center"/>
          </w:tcPr>
          <w:p w:rsidR="00C84CEB" w:rsidRPr="00EC10BC" w:rsidRDefault="00C84CEB" w:rsidP="00C8236B">
            <w:pPr>
              <w:jc w:val="center"/>
              <w:rPr>
                <w:rFonts w:ascii="Eras Medium ITC" w:hAnsi="Eras Medium ITC"/>
                <w:b/>
                <w:sz w:val="32"/>
                <w:u w:val="single"/>
              </w:rPr>
            </w:pPr>
            <w:r>
              <w:rPr>
                <w:rFonts w:ascii="Eras Medium ITC" w:hAnsi="Eras Medium ITC"/>
                <w:b/>
                <w:sz w:val="32"/>
                <w:u w:val="single"/>
              </w:rPr>
              <w:t>Qu’est-ce qui a été fait?</w:t>
            </w:r>
          </w:p>
        </w:tc>
      </w:tr>
      <w:tr w:rsidR="00C84CEB" w:rsidRPr="002E0BA0" w:rsidTr="00CD4B6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3345"/>
        </w:trPr>
        <w:tc>
          <w:tcPr>
            <w:tcW w:w="3936" w:type="dxa"/>
          </w:tcPr>
          <w:p w:rsidR="00C84CEB" w:rsidRDefault="006B6A96" w:rsidP="002C78D6">
            <w:p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Suite à la révision de nos pratiques </w:t>
            </w:r>
            <w:r w:rsidR="00A55EB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quant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à l’application des</w:t>
            </w:r>
            <w:r w:rsidR="00C84CEB" w:rsidRPr="008E7FB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règles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et du code de vie </w:t>
            </w:r>
            <w:r w:rsidR="00C84CEB" w:rsidRPr="008E7FB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de </w:t>
            </w:r>
            <w:r w:rsidR="00C84CEB" w:rsidRPr="008E7FB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gestion des manque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ments auprès des élèves, nous avons actualisé nos documents d’intervention.</w:t>
            </w:r>
          </w:p>
          <w:p w:rsidR="00E95974" w:rsidRPr="008E7FB7" w:rsidRDefault="00E95974" w:rsidP="002C78D6">
            <w:p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171DDA" w:rsidRDefault="00C84CEB" w:rsidP="002C78D6">
            <w:p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8E7FB7">
              <w:rPr>
                <w:rFonts w:ascii="Times New Roman" w:hAnsi="Times New Roman" w:cs="Times New Roman"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7014232" wp14:editId="76553813">
                      <wp:simplePos x="0" y="0"/>
                      <wp:positionH relativeFrom="column">
                        <wp:posOffset>-533400</wp:posOffset>
                      </wp:positionH>
                      <wp:positionV relativeFrom="paragraph">
                        <wp:posOffset>106045</wp:posOffset>
                      </wp:positionV>
                      <wp:extent cx="6351270" cy="7924165"/>
                      <wp:effectExtent l="0" t="0" r="0" b="0"/>
                      <wp:wrapNone/>
                      <wp:docPr id="1" name="Flèche en 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60239">
                                <a:off x="0" y="0"/>
                                <a:ext cx="6351270" cy="7924165"/>
                              </a:xfrm>
                              <a:prstGeom prst="circularArrow">
                                <a:avLst>
                                  <a:gd name="adj1" fmla="val 12500"/>
                                  <a:gd name="adj2" fmla="val 1078247"/>
                                  <a:gd name="adj3" fmla="val 20457681"/>
                                  <a:gd name="adj4" fmla="val 15652717"/>
                                  <a:gd name="adj5" fmla="val 1250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en arc 1" o:spid="_x0000_s1026" style="position:absolute;margin-left:-42pt;margin-top:8.35pt;width:500.1pt;height:623.95pt;rotation:9022384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1270,792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" path="m2615001,470273c4092573,79747,5543093,1273203,5882906,3159034r391913,-7305l5557127,3917692,4687277,3181321r391187,-7292c4781594,1776597,3760143,939130,2741472,1257978l2615001,470273xe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path arrowok="t" o:connecttype="custom" o:connectlocs="2615001,470273;5882906,3159034;6274819,3151729;5557127,3917692;4687277,3181321;5078464,3174029;2741472,1257978;2615001,470273" o:connectangles="0,0,0,0,0,0,0,0"/>
                    </v:shape>
                  </w:pict>
                </mc:Fallback>
              </mc:AlternateContent>
            </w:r>
            <w:r w:rsidR="003837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Nous avons décidé :</w:t>
            </w:r>
          </w:p>
          <w:p w:rsidR="00C84CEB" w:rsidRDefault="00171DDA" w:rsidP="00171DDA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71DDA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de poursuivre l’utilisation de notre outil du code de vie</w:t>
            </w:r>
            <w:r w:rsidR="00E95974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qui comprend un mécanisme de suivi à la suite </w:t>
            </w:r>
            <w:r w:rsidR="003837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d’infractions ou de manquements;</w:t>
            </w:r>
          </w:p>
          <w:p w:rsidR="00171DDA" w:rsidRDefault="0062795A" w:rsidP="00171DDA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</w:t>
            </w:r>
            <w:r w:rsidR="003837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 poursuivre l’action</w:t>
            </w:r>
            <w:r w:rsidR="00171DDA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des Brigadiers de la paix sur la cour de récréation</w:t>
            </w:r>
            <w:r w:rsidR="003837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;</w:t>
            </w:r>
          </w:p>
          <w:p w:rsidR="00171DDA" w:rsidRDefault="0062795A" w:rsidP="00171DDA">
            <w:pPr>
              <w:pStyle w:val="Paragraphedeliste"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</w:t>
            </w:r>
            <w:r w:rsidR="00171DDA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 bâtir un outil incitant les élèves à signaler l’intimidation et la violence dans l’école</w:t>
            </w:r>
            <w:r w:rsidR="003837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;</w:t>
            </w:r>
          </w:p>
          <w:p w:rsidR="006B3A16" w:rsidRDefault="0062795A" w:rsidP="00952572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</w:t>
            </w:r>
            <w:r w:rsidR="00171DDA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’impliquer les parents </w:t>
            </w:r>
            <w:r w:rsidR="0095257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et la communauté-école </w:t>
            </w:r>
            <w:r w:rsidR="00171DDA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dans une démarche de sensibilisation </w:t>
            </w:r>
            <w:r w:rsidR="0095257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en faisant connaître la Déclaration québécoise d’engagement  contre</w:t>
            </w:r>
          </w:p>
          <w:p w:rsidR="00C84CEB" w:rsidRPr="00C8236B" w:rsidRDefault="00952572" w:rsidP="00C8236B">
            <w:pPr>
              <w:pStyle w:val="Paragraphedeliste"/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l’intimidation et la violence.</w:t>
            </w:r>
          </w:p>
        </w:tc>
        <w:tc>
          <w:tcPr>
            <w:tcW w:w="6980" w:type="dxa"/>
            <w:gridSpan w:val="2"/>
          </w:tcPr>
          <w:p w:rsidR="00C84CEB" w:rsidRDefault="00C84CEB" w:rsidP="002C78D6">
            <w:pPr>
              <w:pStyle w:val="Paragraphedeliste"/>
              <w:spacing w:after="60"/>
              <w:ind w:left="34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8E7FB7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Une démarche réflexive </w:t>
            </w:r>
            <w:r w:rsidR="00E61E13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avec les Brigadiers de la paix, 60 élèves du 3</w:t>
            </w:r>
            <w:r w:rsidR="00E61E13" w:rsidRPr="00E61E13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fr-FR"/>
              </w:rPr>
              <w:t>e</w:t>
            </w:r>
            <w:r w:rsidR="00E61E13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cycle, afin d’élaborer un outil de signalement de l’intimidation.</w:t>
            </w:r>
          </w:p>
          <w:p w:rsidR="00A948B0" w:rsidRDefault="00A948B0" w:rsidP="00E61E13">
            <w:pPr>
              <w:spacing w:after="60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</w:p>
          <w:p w:rsidR="00C84CEB" w:rsidRDefault="00E61E13" w:rsidP="00A948B0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A948B0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Discussion avec les brigadiers et élaboration de l’outil avec une équipe.</w:t>
            </w:r>
          </w:p>
          <w:p w:rsidR="00A948B0" w:rsidRPr="00A948B0" w:rsidRDefault="00A948B0" w:rsidP="00A948B0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Validation et utilisation de l’outil au 3</w:t>
            </w:r>
            <w:r w:rsidRPr="00A948B0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cycle</w:t>
            </w:r>
            <w:r w:rsidR="003A6EBD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par les Brigadiers de la Paix </w:t>
            </w:r>
          </w:p>
          <w:p w:rsidR="00E61E13" w:rsidRDefault="00E61E13" w:rsidP="002C78D6">
            <w:p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E61E13" w:rsidRPr="00A948B0" w:rsidRDefault="00E61E13" w:rsidP="002C78D6">
            <w:pPr>
              <w:spacing w:after="60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A948B0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Planification et élaboration d’un espace réservé </w:t>
            </w:r>
            <w:r w:rsidR="00A55EB4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à la lutte co</w:t>
            </w:r>
            <w:r w:rsidR="008E0C76" w:rsidRPr="00A948B0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ntre la violence et l’intimidation</w:t>
            </w:r>
            <w:r w:rsidRPr="00A948B0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: </w:t>
            </w:r>
            <w:r w:rsidR="00A55EB4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« </w:t>
            </w:r>
            <w:r w:rsidRPr="00A948B0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Le mur pacifique</w:t>
            </w:r>
            <w:r w:rsidR="00A55EB4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 ».</w:t>
            </w:r>
          </w:p>
          <w:p w:rsidR="008E0C76" w:rsidRDefault="008E0C76" w:rsidP="002C78D6">
            <w:p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A948B0" w:rsidRDefault="00A948B0" w:rsidP="00A948B0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Faire connaître les Brigadiers de la Paix à la communauté-école en affichant des photos les montrant en action dans la cour d’école.</w:t>
            </w:r>
          </w:p>
          <w:p w:rsidR="00A948B0" w:rsidRDefault="00A948B0" w:rsidP="00A948B0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Afficher </w:t>
            </w:r>
            <w:r w:rsidR="00C37C4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la Déclaration québécoise d’engagement contre 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la violence et l’intimidation.</w:t>
            </w:r>
          </w:p>
          <w:p w:rsidR="00A948B0" w:rsidRDefault="00A948B0" w:rsidP="00A948B0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Inviter les parents et les membres de la communauté-école à signer un engagement</w:t>
            </w:r>
            <w:r w:rsidR="00DE70CB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à dénoncer l’intimidation et la violence après avoir pris conna</w:t>
            </w:r>
            <w:r w:rsidR="0043680D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issance de la Déclaration québécoise d’engagement </w:t>
            </w:r>
            <w:r w:rsidR="00DE70CB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="00C37C4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contre l’intimidation et la violence.</w:t>
            </w:r>
          </w:p>
          <w:p w:rsidR="006B3A16" w:rsidRPr="00C8236B" w:rsidRDefault="00C37C42" w:rsidP="002C78D6">
            <w:pPr>
              <w:pStyle w:val="Paragraphedeliste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Afficher </w:t>
            </w:r>
            <w:r w:rsidR="001B2E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sur le mur pacifique </w:t>
            </w:r>
            <w:r w:rsidR="00010A77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les cartons portant le nom des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famill</w:t>
            </w:r>
            <w:r w:rsidR="00CD4B6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es qui ont signé cet engagement et le nom des membres de la communauté-école.</w:t>
            </w:r>
          </w:p>
        </w:tc>
      </w:tr>
      <w:tr w:rsidR="00C84CEB" w:rsidRPr="00EC10BC" w:rsidTr="00C8236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534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C84CEB" w:rsidRPr="00EC10BC" w:rsidRDefault="00C84CEB" w:rsidP="00C8236B">
            <w:pPr>
              <w:jc w:val="center"/>
              <w:rPr>
                <w:rFonts w:ascii="Eras Medium ITC" w:hAnsi="Eras Medium ITC"/>
                <w:b/>
                <w:sz w:val="32"/>
                <w:u w:val="single"/>
              </w:rPr>
            </w:pPr>
            <w:r>
              <w:rPr>
                <w:rFonts w:ascii="Eras Medium ITC" w:hAnsi="Eras Medium ITC"/>
                <w:b/>
                <w:sz w:val="32"/>
                <w:u w:val="single"/>
              </w:rPr>
              <w:t>Et pour l’an prochain?</w:t>
            </w:r>
          </w:p>
        </w:tc>
        <w:tc>
          <w:tcPr>
            <w:tcW w:w="6980" w:type="dxa"/>
            <w:gridSpan w:val="2"/>
            <w:shd w:val="clear" w:color="auto" w:fill="F2F2F2" w:themeFill="background1" w:themeFillShade="F2"/>
            <w:vAlign w:val="center"/>
          </w:tcPr>
          <w:p w:rsidR="00C84CEB" w:rsidRPr="00EC10BC" w:rsidRDefault="00C84CEB" w:rsidP="00C8236B">
            <w:pPr>
              <w:jc w:val="center"/>
              <w:rPr>
                <w:rFonts w:ascii="Eras Medium ITC" w:hAnsi="Eras Medium ITC"/>
                <w:b/>
                <w:sz w:val="32"/>
                <w:u w:val="single"/>
              </w:rPr>
            </w:pPr>
            <w:r>
              <w:rPr>
                <w:rFonts w:ascii="Eras Medium ITC" w:hAnsi="Eras Medium ITC"/>
                <w:b/>
                <w:sz w:val="32"/>
                <w:u w:val="single"/>
              </w:rPr>
              <w:t>Qu’est-ce que cela a donné?</w:t>
            </w:r>
          </w:p>
        </w:tc>
      </w:tr>
      <w:tr w:rsidR="00C84CEB" w:rsidRPr="008E7FB7" w:rsidTr="00C8236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311"/>
        </w:trPr>
        <w:tc>
          <w:tcPr>
            <w:tcW w:w="3936" w:type="dxa"/>
          </w:tcPr>
          <w:p w:rsidR="00C84CEB" w:rsidRDefault="00C84CEB" w:rsidP="002C78D6">
            <w:pPr>
              <w:rPr>
                <w:rFonts w:ascii="Times New Roman" w:hAnsi="Times New Roman" w:cs="Times New Roman"/>
                <w:sz w:val="32"/>
              </w:rPr>
            </w:pPr>
          </w:p>
          <w:p w:rsidR="006B3A16" w:rsidRDefault="006B3A16" w:rsidP="002C78D6">
            <w:pPr>
              <w:rPr>
                <w:rFonts w:ascii="Times New Roman" w:hAnsi="Times New Roman" w:cs="Times New Roman"/>
              </w:rPr>
            </w:pPr>
            <w:r w:rsidRPr="006B3A16">
              <w:rPr>
                <w:rFonts w:ascii="Times New Roman" w:hAnsi="Times New Roman" w:cs="Times New Roman"/>
              </w:rPr>
              <w:t>Un plan d’action</w:t>
            </w:r>
            <w:r>
              <w:rPr>
                <w:rFonts w:ascii="Times New Roman" w:hAnsi="Times New Roman" w:cs="Times New Roman"/>
              </w:rPr>
              <w:t xml:space="preserve"> pour un milieu sain et sécuritaire sera disponible pour tous  sur le site web de l’école.</w:t>
            </w:r>
          </w:p>
          <w:p w:rsidR="006B3A16" w:rsidRDefault="006B3A16" w:rsidP="002C78D6">
            <w:pPr>
              <w:rPr>
                <w:rFonts w:ascii="Times New Roman" w:hAnsi="Times New Roman" w:cs="Times New Roman"/>
              </w:rPr>
            </w:pPr>
          </w:p>
          <w:p w:rsidR="006B3A16" w:rsidRDefault="006B3A16" w:rsidP="002C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Mise en place de la fiche de signalement d’intimidation ou de violence auprès des élèves et des intervenants de l’école.</w:t>
            </w:r>
          </w:p>
          <w:p w:rsidR="006B3A16" w:rsidRDefault="006B3A16" w:rsidP="002C78D6">
            <w:pPr>
              <w:rPr>
                <w:rFonts w:ascii="Times New Roman" w:hAnsi="Times New Roman" w:cs="Times New Roman"/>
              </w:rPr>
            </w:pPr>
          </w:p>
          <w:p w:rsidR="006B3A16" w:rsidRDefault="00624DB0" w:rsidP="002C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Actualisation du code de vie par l’équipe d’enseignants et signature de son acceptation par les parents.</w:t>
            </w:r>
          </w:p>
          <w:p w:rsidR="00D27B51" w:rsidRDefault="00D27B51" w:rsidP="002C78D6">
            <w:pPr>
              <w:rPr>
                <w:rFonts w:ascii="Times New Roman" w:hAnsi="Times New Roman" w:cs="Times New Roman"/>
              </w:rPr>
            </w:pPr>
          </w:p>
          <w:p w:rsidR="00D27B51" w:rsidRDefault="00D27B51" w:rsidP="002C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Poursuite de l’action des Brigadiers de la paix.</w:t>
            </w:r>
          </w:p>
          <w:p w:rsidR="00D27B51" w:rsidRDefault="00D27B51" w:rsidP="002C78D6">
            <w:pPr>
              <w:rPr>
                <w:rFonts w:ascii="Times New Roman" w:hAnsi="Times New Roman" w:cs="Times New Roman"/>
              </w:rPr>
            </w:pPr>
          </w:p>
          <w:p w:rsidR="00D27B51" w:rsidRDefault="00D27B51" w:rsidP="002C7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Consacrer </w:t>
            </w:r>
            <w:r w:rsidR="00823B95">
              <w:rPr>
                <w:rFonts w:ascii="Times New Roman" w:hAnsi="Times New Roman" w:cs="Times New Roman"/>
              </w:rPr>
              <w:t xml:space="preserve">un  mur de l’école à la lutte contre </w:t>
            </w:r>
            <w:r>
              <w:rPr>
                <w:rFonts w:ascii="Times New Roman" w:hAnsi="Times New Roman" w:cs="Times New Roman"/>
              </w:rPr>
              <w:t>l’intim</w:t>
            </w:r>
            <w:r w:rsidR="00823B95">
              <w:rPr>
                <w:rFonts w:ascii="Times New Roman" w:hAnsi="Times New Roman" w:cs="Times New Roman"/>
              </w:rPr>
              <w:t>idation et contre</w:t>
            </w:r>
            <w:r>
              <w:rPr>
                <w:rFonts w:ascii="Times New Roman" w:hAnsi="Times New Roman" w:cs="Times New Roman"/>
              </w:rPr>
              <w:t xml:space="preserve"> la violence : le mur pacifique.</w:t>
            </w:r>
          </w:p>
          <w:p w:rsidR="003D055A" w:rsidRDefault="003D055A" w:rsidP="002C78D6">
            <w:pPr>
              <w:rPr>
                <w:rFonts w:ascii="Times New Roman" w:hAnsi="Times New Roman" w:cs="Times New Roman"/>
              </w:rPr>
            </w:pPr>
          </w:p>
          <w:p w:rsidR="003D055A" w:rsidRDefault="003D055A" w:rsidP="002C78D6">
            <w:pPr>
              <w:rPr>
                <w:rFonts w:ascii="Times New Roman" w:hAnsi="Times New Roman" w:cs="Times New Roman"/>
              </w:rPr>
            </w:pPr>
          </w:p>
          <w:p w:rsidR="00D27B51" w:rsidRDefault="00D27B51" w:rsidP="002C78D6">
            <w:pPr>
              <w:rPr>
                <w:rFonts w:ascii="Times New Roman" w:hAnsi="Times New Roman" w:cs="Times New Roman"/>
              </w:rPr>
            </w:pPr>
          </w:p>
          <w:p w:rsidR="00D27B51" w:rsidRPr="006B3A16" w:rsidRDefault="00D27B51" w:rsidP="002C7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gridSpan w:val="2"/>
          </w:tcPr>
          <w:p w:rsidR="00CD4B6C" w:rsidRPr="00FD6897" w:rsidRDefault="00CD4B6C" w:rsidP="002C78D6">
            <w:pP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CD4B6C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Fiche de signalement d’intimidation et de violence :</w:t>
            </w:r>
          </w:p>
          <w:p w:rsidR="00CD4B6C" w:rsidRDefault="00CD4B6C" w:rsidP="00CD4B6C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fiche a été utilisée par 8 élèves qui ont signalé de l’intimidation. Comme c’est la première année d’implantation, commencé</w:t>
            </w:r>
            <w:r w:rsidR="00E163E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en décembre 2013, nous n’avons pas de point de comparaison. Ce sera notre base de données pour l’évaluation de la prochaine année.</w:t>
            </w:r>
          </w:p>
          <w:p w:rsidR="00952572" w:rsidRDefault="00952572" w:rsidP="00952572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L’outil a été jugé efficace par l</w:t>
            </w:r>
            <w:r w:rsidR="00CD4B6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’éducatrice spécialisée et la direction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qui</w:t>
            </w:r>
            <w:r w:rsidR="00CD4B6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ont pu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:</w:t>
            </w:r>
          </w:p>
          <w:p w:rsidR="00CD4B6C" w:rsidRDefault="00CD4B6C" w:rsidP="00952572">
            <w:pPr>
              <w:pStyle w:val="Paragraphedeliste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donner suite rapidement aux événements rapportés </w:t>
            </w:r>
            <w:r w:rsidR="00952572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et effectuer le suivi approprié, sel</w:t>
            </w:r>
            <w:r w:rsidR="0099476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on la gravité des comportements;</w:t>
            </w:r>
          </w:p>
          <w:p w:rsidR="00952572" w:rsidRDefault="00952572" w:rsidP="00952572">
            <w:pPr>
              <w:pStyle w:val="Paragraphedeliste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Intervenir adéquatement auprès de la victime et de(s) l’intimidateur(s)</w:t>
            </w:r>
            <w:r w:rsidR="004F6CD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en apportant l’enseignement du comportement attendu.</w:t>
            </w:r>
          </w:p>
          <w:p w:rsidR="004F6CD9" w:rsidRDefault="004F6CD9" w:rsidP="004F6CD9">
            <w:pPr>
              <w:pStyle w:val="Paragraphedeliste"/>
              <w:ind w:left="144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  <w:p w:rsidR="004F6CD9" w:rsidRDefault="004F6CD9" w:rsidP="004F6CD9">
            <w:pPr>
              <w:spacing w:after="60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A948B0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Planification et élaboration d’</w:t>
            </w:r>
            <w:r w:rsidR="0099476F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un espace réservé à la lutte co</w:t>
            </w:r>
            <w:r w:rsidRPr="00A948B0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ntre la violence et l’intimidation: Le mur pacifique</w:t>
            </w:r>
          </w:p>
          <w:p w:rsidR="004F6CD9" w:rsidRDefault="004F6CD9" w:rsidP="004F6CD9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4F6CD9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Tous les membres du personnel et plus du  2/3 des parents de l’école, avec leurs enfants, ont pris connaissance de la Déclaration québécoise et ont signé le carton d’engagement.</w:t>
            </w:r>
          </w:p>
          <w:p w:rsidR="004F6CD9" w:rsidRDefault="004F6CD9" w:rsidP="004F6CD9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Nous avons remarqué une meilleure compréhension de l’utilisation des mots liés à la problématique.</w:t>
            </w:r>
          </w:p>
          <w:p w:rsidR="00952572" w:rsidRPr="00952572" w:rsidRDefault="003814F8" w:rsidP="003814F8">
            <w:pPr>
              <w:pStyle w:val="Paragraphedeliste"/>
              <w:numPr>
                <w:ilvl w:val="0"/>
                <w:numId w:val="5"/>
              </w:numPr>
              <w:spacing w:after="60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 mur pacifique étant situé dans un endroit passant de l’école, tous les visiteurs de l’école ont été sensibilisés au fait que notre école est engagée à agir selon la Déclaration québécoise de lutte à l’intimidation et à la violence.</w:t>
            </w:r>
          </w:p>
        </w:tc>
      </w:tr>
    </w:tbl>
    <w:p w:rsidR="001A4F0E" w:rsidRDefault="001A4F0E"/>
    <w:sectPr w:rsidR="001A4F0E" w:rsidSect="00C8236B">
      <w:pgSz w:w="12242" w:h="20163" w:code="121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5A7E"/>
    <w:multiLevelType w:val="hybridMultilevel"/>
    <w:tmpl w:val="C28609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A1682"/>
    <w:multiLevelType w:val="hybridMultilevel"/>
    <w:tmpl w:val="82789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E4005"/>
    <w:multiLevelType w:val="hybridMultilevel"/>
    <w:tmpl w:val="973659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F62F9"/>
    <w:multiLevelType w:val="hybridMultilevel"/>
    <w:tmpl w:val="547801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709B4"/>
    <w:multiLevelType w:val="hybridMultilevel"/>
    <w:tmpl w:val="DD9C37D4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EB"/>
    <w:rsid w:val="00010A77"/>
    <w:rsid w:val="00081944"/>
    <w:rsid w:val="00171DDA"/>
    <w:rsid w:val="001A4F0E"/>
    <w:rsid w:val="001B2E1F"/>
    <w:rsid w:val="00227CF6"/>
    <w:rsid w:val="003811CB"/>
    <w:rsid w:val="003814F8"/>
    <w:rsid w:val="003837DC"/>
    <w:rsid w:val="003A6EBD"/>
    <w:rsid w:val="003D055A"/>
    <w:rsid w:val="003D6C77"/>
    <w:rsid w:val="0043680D"/>
    <w:rsid w:val="004F6CD9"/>
    <w:rsid w:val="00624DB0"/>
    <w:rsid w:val="0062795A"/>
    <w:rsid w:val="006B3A16"/>
    <w:rsid w:val="006B6A96"/>
    <w:rsid w:val="00715140"/>
    <w:rsid w:val="00823B95"/>
    <w:rsid w:val="008E0C76"/>
    <w:rsid w:val="00952572"/>
    <w:rsid w:val="0099476F"/>
    <w:rsid w:val="009A2643"/>
    <w:rsid w:val="00A37F2C"/>
    <w:rsid w:val="00A55EB4"/>
    <w:rsid w:val="00A948B0"/>
    <w:rsid w:val="00C37C42"/>
    <w:rsid w:val="00C8236B"/>
    <w:rsid w:val="00C84CEB"/>
    <w:rsid w:val="00CD4B6C"/>
    <w:rsid w:val="00D27B51"/>
    <w:rsid w:val="00DA5857"/>
    <w:rsid w:val="00DE70CB"/>
    <w:rsid w:val="00E163E6"/>
    <w:rsid w:val="00E61E13"/>
    <w:rsid w:val="00E95974"/>
    <w:rsid w:val="00F6200A"/>
    <w:rsid w:val="00FC006F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C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C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8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CSDD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Millet</dc:creator>
  <cp:lastModifiedBy>Valerie Dumais-Levasseur</cp:lastModifiedBy>
  <cp:revision>2</cp:revision>
  <cp:lastPrinted>2014-06-26T12:45:00Z</cp:lastPrinted>
  <dcterms:created xsi:type="dcterms:W3CDTF">2014-08-29T13:30:00Z</dcterms:created>
  <dcterms:modified xsi:type="dcterms:W3CDTF">2014-08-29T13:30:00Z</dcterms:modified>
</cp:coreProperties>
</file>